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F9" w:rsidRPr="00E070F9" w:rsidRDefault="00E070F9" w:rsidP="006E0653">
      <w:pPr>
        <w:pStyle w:val="a5"/>
        <w:shd w:val="clear" w:color="auto" w:fill="FFFFFF"/>
        <w:spacing w:before="0" w:beforeAutospacing="0" w:after="0" w:afterAutospacing="0" w:line="420" w:lineRule="atLeast"/>
        <w:jc w:val="center"/>
        <w:rPr>
          <w:rFonts w:ascii="方正小标宋简体" w:eastAsia="方正小标宋简体" w:hAnsi="仿宋"/>
          <w:color w:val="333333"/>
          <w:sz w:val="44"/>
          <w:szCs w:val="44"/>
        </w:rPr>
      </w:pPr>
      <w:r w:rsidRPr="00E070F9">
        <w:rPr>
          <w:rFonts w:ascii="方正小标宋简体" w:eastAsia="方正小标宋简体" w:hAnsi="仿宋" w:hint="eastAsia"/>
          <w:color w:val="333333"/>
          <w:sz w:val="44"/>
          <w:szCs w:val="44"/>
        </w:rPr>
        <w:t xml:space="preserve">说 </w:t>
      </w:r>
      <w:r w:rsidR="006E0653">
        <w:rPr>
          <w:rFonts w:ascii="方正小标宋简体" w:eastAsia="方正小标宋简体" w:hAnsi="仿宋"/>
          <w:color w:val="333333"/>
          <w:sz w:val="44"/>
          <w:szCs w:val="44"/>
        </w:rPr>
        <w:t xml:space="preserve"> </w:t>
      </w:r>
      <w:r w:rsidRPr="00E070F9">
        <w:rPr>
          <w:rFonts w:ascii="方正小标宋简体" w:eastAsia="方正小标宋简体" w:hAnsi="仿宋" w:hint="eastAsia"/>
          <w:color w:val="333333"/>
          <w:sz w:val="44"/>
          <w:szCs w:val="44"/>
        </w:rPr>
        <w:t>明</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1.国际著名金融机构:美国高盛、摩根士丹利、摩根大通、花旗银行、美国国际集团、英国汇丰银行、法国兴业银行、法国巴黎银行、法国巴黎百富勤有限公司、荷兰银行、荷兰国际集团、德意志银行、德累斯顿银行、瑞士信贷第一波士顿、瑞士联合银行集团、日本瑞穗集团、三菱UFJ金融集团、三井住友金融集团、新加坡星展银行。</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2.国际著名会计师事务所:普华永道会计师事务所、德勤会计师事务所、安永会计师事务所、毕马威会计师事务所、捷安国际会计师事务所、艾格斯国际会计师事务所、安博国际会计联盟、博</w:t>
      </w:r>
      <w:proofErr w:type="gramStart"/>
      <w:r w:rsidRPr="00BD5492">
        <w:rPr>
          <w:rFonts w:ascii="仿宋_GB2312" w:eastAsia="仿宋_GB2312" w:hAnsi="仿宋" w:hint="eastAsia"/>
          <w:color w:val="333333"/>
          <w:sz w:val="34"/>
          <w:szCs w:val="34"/>
        </w:rPr>
        <w:t>太国</w:t>
      </w:r>
      <w:proofErr w:type="gramEnd"/>
      <w:r w:rsidRPr="00BD5492">
        <w:rPr>
          <w:rFonts w:ascii="仿宋_GB2312" w:eastAsia="仿宋_GB2312" w:hAnsi="仿宋" w:hint="eastAsia"/>
          <w:color w:val="333333"/>
          <w:sz w:val="34"/>
          <w:szCs w:val="34"/>
        </w:rPr>
        <w:t>际会计师事务所、贝克国际会计师事务所、德豪国际会计师事务所、费都寿国际会计师事务所、</w:t>
      </w:r>
      <w:proofErr w:type="gramStart"/>
      <w:r w:rsidRPr="00BD5492">
        <w:rPr>
          <w:rFonts w:ascii="仿宋_GB2312" w:eastAsia="仿宋_GB2312" w:hAnsi="仿宋" w:hint="eastAsia"/>
          <w:color w:val="333333"/>
          <w:sz w:val="34"/>
          <w:szCs w:val="34"/>
        </w:rPr>
        <w:t>浩</w:t>
      </w:r>
      <w:proofErr w:type="gramEnd"/>
      <w:r w:rsidRPr="00BD5492">
        <w:rPr>
          <w:rFonts w:ascii="仿宋_GB2312" w:eastAsia="仿宋_GB2312" w:hAnsi="仿宋" w:hint="eastAsia"/>
          <w:color w:val="333333"/>
          <w:sz w:val="34"/>
          <w:szCs w:val="34"/>
        </w:rPr>
        <w:t>华国际会计师事务所、</w:t>
      </w:r>
      <w:proofErr w:type="gramStart"/>
      <w:r w:rsidRPr="00BD5492">
        <w:rPr>
          <w:rFonts w:ascii="仿宋_GB2312" w:eastAsia="仿宋_GB2312" w:hAnsi="仿宋" w:hint="eastAsia"/>
          <w:color w:val="333333"/>
          <w:sz w:val="34"/>
          <w:szCs w:val="34"/>
        </w:rPr>
        <w:t>浩</w:t>
      </w:r>
      <w:proofErr w:type="gramEnd"/>
      <w:r w:rsidRPr="00BD5492">
        <w:rPr>
          <w:rFonts w:ascii="仿宋_GB2312" w:eastAsia="仿宋_GB2312" w:hAnsi="仿宋" w:hint="eastAsia"/>
          <w:color w:val="333333"/>
          <w:sz w:val="34"/>
          <w:szCs w:val="34"/>
        </w:rPr>
        <w:t>信国际会计师事务所、华利信国际会计师事务所、均富国际会计师事务所、克瑞斯顿国际会计师事务所、罗申美国际会计师事务所、联合会计师国际会计师事务所、</w:t>
      </w:r>
      <w:proofErr w:type="gramStart"/>
      <w:r w:rsidRPr="00BD5492">
        <w:rPr>
          <w:rFonts w:ascii="仿宋_GB2312" w:eastAsia="仿宋_GB2312" w:hAnsi="仿宋" w:hint="eastAsia"/>
          <w:color w:val="333333"/>
          <w:sz w:val="34"/>
          <w:szCs w:val="34"/>
        </w:rPr>
        <w:t>摩斯伦国际</w:t>
      </w:r>
      <w:proofErr w:type="gramEnd"/>
      <w:r w:rsidRPr="00BD5492">
        <w:rPr>
          <w:rFonts w:ascii="仿宋_GB2312" w:eastAsia="仿宋_GB2312" w:hAnsi="仿宋" w:hint="eastAsia"/>
          <w:color w:val="333333"/>
          <w:sz w:val="34"/>
          <w:szCs w:val="34"/>
        </w:rPr>
        <w:t>会计师事务所。</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3.国际著名学术组织:电气与电子工程师学会(美国,IEEE)、电气工程师学会(英国,IEE)、国际电工委员会(IEC)、美国物理学会(APS)、美国医药生物工程学会(AIMBE)、美国计算机协会(ACM)、英国皇家学会(Royal Society)。</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lastRenderedPageBreak/>
        <w:t>4.国家“千人计划”人选:中央实施的引进海外高层次人才“千人计划”人选,包括:创新人才长期项目、创业人才项目、外专项目、顶尖人才与创新团队项目、文化艺术人才项目等。</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5.国家“万人计划”领军人才:中央实施的“国家高层次人才特殊支持计划”领军人才人选,包括:科技创新领军人才、科技创业领军人才、哲学社会科学领军人才、教学名师、百千万工程领军人才等。</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6.科技部“创新人才推进计划”人选:由科技部、人力资源社会保障部、财政部、教育部、中国科学院、中国工程院、国家自然科学基金委员会、中国科协共同组织实施,包括中青年科技创新领军人才、科技创新创业人才、重点领域创新团队等。</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7.国家外国专家局“首席外国专家项目”人选:资助本领域本行业顶尖的、在大型企业、科研机构或在重大科技项目中担任相当于首席科学家职务的外国专家。主要从期满3年的“外专千人计划”专家和历年列入国家外国专家局高端项目、重点项目的专家中</w:t>
      </w:r>
      <w:hyperlink r:id="rId6" w:tgtFrame="_blank" w:history="1">
        <w:r w:rsidRPr="00BD5492">
          <w:rPr>
            <w:rStyle w:val="a6"/>
            <w:rFonts w:ascii="仿宋_GB2312" w:eastAsia="仿宋_GB2312" w:hAnsi="仿宋" w:hint="eastAsia"/>
            <w:color w:val="333333"/>
            <w:sz w:val="34"/>
            <w:szCs w:val="34"/>
          </w:rPr>
          <w:t>遴选</w:t>
        </w:r>
      </w:hyperlink>
      <w:r w:rsidRPr="00BD5492">
        <w:rPr>
          <w:rFonts w:ascii="仿宋_GB2312" w:eastAsia="仿宋_GB2312" w:hAnsi="仿宋" w:hint="eastAsia"/>
          <w:color w:val="333333"/>
          <w:sz w:val="34"/>
          <w:szCs w:val="34"/>
        </w:rPr>
        <w:t>。</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8.“世界500强”:美国《财富》杂志每年评选的“全球最大500家公司”。</w:t>
      </w:r>
    </w:p>
    <w:p w:rsid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color w:val="333333"/>
          <w:sz w:val="34"/>
          <w:szCs w:val="34"/>
        </w:rPr>
      </w:pPr>
      <w:r w:rsidRPr="00BD5492">
        <w:rPr>
          <w:rFonts w:ascii="仿宋_GB2312" w:eastAsia="仿宋_GB2312" w:hAnsi="仿宋" w:hint="eastAsia"/>
          <w:color w:val="333333"/>
          <w:sz w:val="34"/>
          <w:szCs w:val="34"/>
        </w:rPr>
        <w:t>9.中国文化艺术政府奖包括文华奖、群星奖、</w:t>
      </w:r>
      <w:proofErr w:type="gramStart"/>
      <w:r w:rsidRPr="00BD5492">
        <w:rPr>
          <w:rFonts w:ascii="仿宋_GB2312" w:eastAsia="仿宋_GB2312" w:hAnsi="仿宋" w:hint="eastAsia"/>
          <w:color w:val="333333"/>
          <w:sz w:val="34"/>
          <w:szCs w:val="34"/>
        </w:rPr>
        <w:t>动漫奖</w:t>
      </w:r>
      <w:proofErr w:type="gramEnd"/>
      <w:r w:rsidRPr="00BD5492">
        <w:rPr>
          <w:rFonts w:ascii="仿宋_GB2312" w:eastAsia="仿宋_GB2312" w:hAnsi="仿宋" w:hint="eastAsia"/>
          <w:color w:val="333333"/>
          <w:sz w:val="34"/>
          <w:szCs w:val="34"/>
        </w:rPr>
        <w:t>;中国广播影视大奖包括中国电影华表奖、中国电视剧飞</w:t>
      </w:r>
      <w:r w:rsidRPr="00BD5492">
        <w:rPr>
          <w:rFonts w:ascii="仿宋_GB2312" w:eastAsia="仿宋_GB2312" w:hAnsi="仿宋" w:hint="eastAsia"/>
          <w:color w:val="333333"/>
          <w:sz w:val="34"/>
          <w:szCs w:val="34"/>
        </w:rPr>
        <w:lastRenderedPageBreak/>
        <w:t>天奖、中国广播电视节目奖;中国文联12个奖项包括中国戏剧奖、中国电影金鸡奖、大众电影百花奖、中国</w:t>
      </w:r>
      <w:proofErr w:type="gramStart"/>
      <w:r w:rsidRPr="00BD5492">
        <w:rPr>
          <w:rFonts w:ascii="仿宋_GB2312" w:eastAsia="仿宋_GB2312" w:hAnsi="仿宋" w:hint="eastAsia"/>
          <w:color w:val="333333"/>
          <w:sz w:val="34"/>
          <w:szCs w:val="34"/>
        </w:rPr>
        <w:t>音乐金</w:t>
      </w:r>
      <w:proofErr w:type="gramEnd"/>
      <w:r w:rsidRPr="00BD5492">
        <w:rPr>
          <w:rFonts w:ascii="仿宋_GB2312" w:eastAsia="仿宋_GB2312" w:hAnsi="仿宋" w:hint="eastAsia"/>
          <w:color w:val="333333"/>
          <w:sz w:val="34"/>
          <w:szCs w:val="34"/>
        </w:rPr>
        <w:t>钟奖、中国美术奖、中国曲艺牡丹奖、中国舞蹈荷花奖、中国民间文艺山花奖、中国摄影金像奖、中国书法兰亭奖、中国杂技金菊奖、中国电视金鹰奖;中国作协4个奖项包括茅盾文学奖、鲁迅文学奖、全国优秀儿童文学奖、全国少数民族文学创作“骏马奖”。</w:t>
      </w:r>
    </w:p>
    <w:p w:rsidR="00E070F9" w:rsidRPr="00BD5492" w:rsidRDefault="00E070F9" w:rsidP="00BD5492">
      <w:pPr>
        <w:pStyle w:val="a5"/>
        <w:shd w:val="clear" w:color="auto" w:fill="FFFFFF"/>
        <w:spacing w:before="0" w:beforeAutospacing="0" w:after="0" w:afterAutospacing="0" w:line="420" w:lineRule="atLeast"/>
        <w:ind w:firstLineChars="200" w:firstLine="680"/>
        <w:jc w:val="both"/>
        <w:rPr>
          <w:rFonts w:ascii="仿宋_GB2312" w:eastAsia="仿宋_GB2312" w:hAnsi="仿宋" w:hint="eastAsia"/>
          <w:color w:val="333333"/>
          <w:sz w:val="34"/>
          <w:szCs w:val="34"/>
        </w:rPr>
      </w:pPr>
      <w:bookmarkStart w:id="0" w:name="_GoBack"/>
      <w:bookmarkEnd w:id="0"/>
      <w:r w:rsidRPr="00BD5492">
        <w:rPr>
          <w:rFonts w:ascii="仿宋_GB2312" w:eastAsia="仿宋_GB2312" w:hAnsi="仿宋" w:hint="eastAsia"/>
          <w:color w:val="333333"/>
          <w:sz w:val="34"/>
          <w:szCs w:val="34"/>
        </w:rPr>
        <w:t>10.主创人员:戏剧包括编剧、作曲、指挥、导演、主演;电影包括编剧、导演、摄像、录音、美术、音乐、剪辑、男主角、女主角;电视剧包括编剧、导演、摄像、美术、照明、男主角、女主角;歌曲包括作词、作曲、演唱;广播剧包括编剧、导演、演播者;广播电视节目包括导演、演播者;舞蹈包括编导、音乐、舞美、灯光、服装、主演;杂技包括编导、音乐、舞美、服装、道具、主演;曲艺包括作者、主演;动漫指创作者;图书、音乐、美术、书法、摄影、民间文艺指作品作者(演唱者)。</w:t>
      </w:r>
    </w:p>
    <w:p w:rsidR="00AF7EE2" w:rsidRPr="00BD5492" w:rsidRDefault="00AF7EE2" w:rsidP="00BD5492">
      <w:pPr>
        <w:ind w:firstLine="680"/>
        <w:rPr>
          <w:rFonts w:ascii="仿宋_GB2312" w:hAnsi="仿宋" w:hint="eastAsia"/>
          <w:szCs w:val="34"/>
        </w:rPr>
      </w:pPr>
    </w:p>
    <w:sectPr w:rsidR="00AF7EE2" w:rsidRPr="00BD54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83" w:rsidRDefault="00EE1783" w:rsidP="006E0653">
      <w:pPr>
        <w:spacing w:line="240" w:lineRule="auto"/>
        <w:ind w:firstLine="680"/>
      </w:pPr>
      <w:r>
        <w:separator/>
      </w:r>
    </w:p>
  </w:endnote>
  <w:endnote w:type="continuationSeparator" w:id="0">
    <w:p w:rsidR="00EE1783" w:rsidRDefault="00EE1783" w:rsidP="006E0653">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Default="006E065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Default="006E0653">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Default="006E065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83" w:rsidRDefault="00EE1783" w:rsidP="006E0653">
      <w:pPr>
        <w:spacing w:line="240" w:lineRule="auto"/>
        <w:ind w:firstLine="680"/>
      </w:pPr>
      <w:r>
        <w:separator/>
      </w:r>
    </w:p>
  </w:footnote>
  <w:footnote w:type="continuationSeparator" w:id="0">
    <w:p w:rsidR="00EE1783" w:rsidRDefault="00EE1783" w:rsidP="006E0653">
      <w:pPr>
        <w:spacing w:line="240" w:lineRule="auto"/>
        <w:ind w:firstLine="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Default="006E065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Pr="006E0653" w:rsidRDefault="006E0653" w:rsidP="006E0653">
    <w:pPr>
      <w:ind w:left="6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53" w:rsidRDefault="006E0653">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F9"/>
    <w:rsid w:val="002C30BA"/>
    <w:rsid w:val="006E0653"/>
    <w:rsid w:val="00AF7EE2"/>
    <w:rsid w:val="00BD5492"/>
    <w:rsid w:val="00CF1F31"/>
    <w:rsid w:val="00E070F9"/>
    <w:rsid w:val="00EE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9C1A"/>
  <w15:chartTrackingRefBased/>
  <w15:docId w15:val="{B7008F6B-6F62-4C8B-A734-145C58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0BA"/>
    <w:pPr>
      <w:widowControl w:val="0"/>
      <w:snapToGrid w:val="0"/>
      <w:spacing w:line="600" w:lineRule="exact"/>
      <w:ind w:firstLineChars="200" w:firstLine="200"/>
      <w:jc w:val="both"/>
    </w:pPr>
    <w:rPr>
      <w:rFonts w:ascii="Times New Roman" w:eastAsia="仿宋_GB2312" w:hAnsi="Times New Roman"/>
      <w:sz w:val="34"/>
    </w:rPr>
  </w:style>
  <w:style w:type="paragraph" w:styleId="1">
    <w:name w:val="heading 1"/>
    <w:basedOn w:val="a"/>
    <w:next w:val="a"/>
    <w:link w:val="10"/>
    <w:uiPriority w:val="9"/>
    <w:qFormat/>
    <w:rsid w:val="002C30BA"/>
    <w:pPr>
      <w:keepNext/>
      <w:keepLines/>
      <w:outlineLvl w:val="0"/>
    </w:pPr>
    <w:rPr>
      <w:rFonts w:eastAsia="黑体"/>
      <w:b/>
      <w:bCs/>
      <w:kern w:val="44"/>
      <w:szCs w:val="44"/>
    </w:rPr>
  </w:style>
  <w:style w:type="paragraph" w:styleId="2">
    <w:name w:val="heading 2"/>
    <w:basedOn w:val="a"/>
    <w:next w:val="a"/>
    <w:link w:val="20"/>
    <w:uiPriority w:val="9"/>
    <w:unhideWhenUsed/>
    <w:qFormat/>
    <w:rsid w:val="002C30BA"/>
    <w:pPr>
      <w:keepNext/>
      <w:keepLines/>
      <w:outlineLvl w:val="1"/>
    </w:pPr>
    <w:rPr>
      <w:rFonts w:eastAsia="楷体" w:cstheme="majorBidi"/>
      <w:b/>
      <w:bCs/>
      <w:szCs w:val="32"/>
    </w:rPr>
  </w:style>
  <w:style w:type="paragraph" w:styleId="3">
    <w:name w:val="heading 3"/>
    <w:basedOn w:val="a"/>
    <w:next w:val="a"/>
    <w:link w:val="30"/>
    <w:uiPriority w:val="9"/>
    <w:unhideWhenUsed/>
    <w:qFormat/>
    <w:rsid w:val="002C30BA"/>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30BA"/>
    <w:pPr>
      <w:jc w:val="center"/>
      <w:outlineLvl w:val="0"/>
    </w:pPr>
    <w:rPr>
      <w:rFonts w:eastAsia="方正小标宋简体" w:cstheme="majorBidi"/>
      <w:b/>
      <w:bCs/>
      <w:sz w:val="44"/>
      <w:szCs w:val="32"/>
    </w:rPr>
  </w:style>
  <w:style w:type="character" w:customStyle="1" w:styleId="a4">
    <w:name w:val="标题 字符"/>
    <w:basedOn w:val="a0"/>
    <w:link w:val="a3"/>
    <w:uiPriority w:val="10"/>
    <w:rsid w:val="002C30BA"/>
    <w:rPr>
      <w:rFonts w:ascii="Times New Roman" w:eastAsia="方正小标宋简体" w:hAnsi="Times New Roman" w:cstheme="majorBidi"/>
      <w:b/>
      <w:bCs/>
      <w:sz w:val="44"/>
      <w:szCs w:val="32"/>
    </w:rPr>
  </w:style>
  <w:style w:type="character" w:customStyle="1" w:styleId="10">
    <w:name w:val="标题 1 字符"/>
    <w:basedOn w:val="a0"/>
    <w:link w:val="1"/>
    <w:uiPriority w:val="9"/>
    <w:rsid w:val="002C30BA"/>
    <w:rPr>
      <w:rFonts w:ascii="Times New Roman" w:eastAsia="黑体" w:hAnsi="Times New Roman"/>
      <w:b/>
      <w:bCs/>
      <w:kern w:val="44"/>
      <w:sz w:val="34"/>
      <w:szCs w:val="44"/>
    </w:rPr>
  </w:style>
  <w:style w:type="character" w:customStyle="1" w:styleId="20">
    <w:name w:val="标题 2 字符"/>
    <w:basedOn w:val="a0"/>
    <w:link w:val="2"/>
    <w:uiPriority w:val="9"/>
    <w:rsid w:val="002C30BA"/>
    <w:rPr>
      <w:rFonts w:ascii="Times New Roman" w:eastAsia="楷体" w:hAnsi="Times New Roman" w:cstheme="majorBidi"/>
      <w:b/>
      <w:bCs/>
      <w:sz w:val="34"/>
      <w:szCs w:val="32"/>
    </w:rPr>
  </w:style>
  <w:style w:type="character" w:customStyle="1" w:styleId="30">
    <w:name w:val="标题 3 字符"/>
    <w:basedOn w:val="a0"/>
    <w:link w:val="3"/>
    <w:uiPriority w:val="9"/>
    <w:rsid w:val="002C30BA"/>
    <w:rPr>
      <w:rFonts w:ascii="Times New Roman" w:eastAsia="仿宋_GB2312" w:hAnsi="Times New Roman"/>
      <w:b/>
      <w:bCs/>
      <w:sz w:val="34"/>
      <w:szCs w:val="32"/>
    </w:rPr>
  </w:style>
  <w:style w:type="paragraph" w:styleId="a5">
    <w:name w:val="Normal (Web)"/>
    <w:basedOn w:val="a"/>
    <w:uiPriority w:val="99"/>
    <w:semiHidden/>
    <w:unhideWhenUsed/>
    <w:rsid w:val="00E070F9"/>
    <w:pPr>
      <w:widowControl/>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Hyperlink"/>
    <w:basedOn w:val="a0"/>
    <w:uiPriority w:val="99"/>
    <w:semiHidden/>
    <w:unhideWhenUsed/>
    <w:rsid w:val="00E070F9"/>
    <w:rPr>
      <w:color w:val="0000FF"/>
      <w:u w:val="single"/>
    </w:rPr>
  </w:style>
  <w:style w:type="paragraph" w:styleId="a7">
    <w:name w:val="header"/>
    <w:basedOn w:val="a"/>
    <w:link w:val="a8"/>
    <w:uiPriority w:val="99"/>
    <w:unhideWhenUsed/>
    <w:rsid w:val="006E0653"/>
    <w:pPr>
      <w:pBdr>
        <w:bottom w:val="single" w:sz="6" w:space="1" w:color="auto"/>
      </w:pBdr>
      <w:tabs>
        <w:tab w:val="center" w:pos="4153"/>
        <w:tab w:val="right" w:pos="8306"/>
      </w:tabs>
      <w:spacing w:line="240" w:lineRule="atLeast"/>
      <w:jc w:val="center"/>
    </w:pPr>
    <w:rPr>
      <w:sz w:val="18"/>
      <w:szCs w:val="18"/>
    </w:rPr>
  </w:style>
  <w:style w:type="character" w:customStyle="1" w:styleId="a8">
    <w:name w:val="页眉 字符"/>
    <w:basedOn w:val="a0"/>
    <w:link w:val="a7"/>
    <w:uiPriority w:val="99"/>
    <w:rsid w:val="006E0653"/>
    <w:rPr>
      <w:rFonts w:ascii="Times New Roman" w:eastAsia="仿宋_GB2312" w:hAnsi="Times New Roman"/>
      <w:sz w:val="18"/>
      <w:szCs w:val="18"/>
    </w:rPr>
  </w:style>
  <w:style w:type="paragraph" w:styleId="a9">
    <w:name w:val="footer"/>
    <w:basedOn w:val="a"/>
    <w:link w:val="aa"/>
    <w:uiPriority w:val="99"/>
    <w:unhideWhenUsed/>
    <w:rsid w:val="006E0653"/>
    <w:pPr>
      <w:tabs>
        <w:tab w:val="center" w:pos="4153"/>
        <w:tab w:val="right" w:pos="8306"/>
      </w:tabs>
      <w:spacing w:line="240" w:lineRule="atLeast"/>
      <w:jc w:val="left"/>
    </w:pPr>
    <w:rPr>
      <w:sz w:val="18"/>
      <w:szCs w:val="18"/>
    </w:rPr>
  </w:style>
  <w:style w:type="character" w:customStyle="1" w:styleId="aa">
    <w:name w:val="页脚 字符"/>
    <w:basedOn w:val="a0"/>
    <w:link w:val="a9"/>
    <w:uiPriority w:val="99"/>
    <w:rsid w:val="006E0653"/>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huatu.com/gxl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杨永旺</cp:lastModifiedBy>
  <cp:revision>3</cp:revision>
  <dcterms:created xsi:type="dcterms:W3CDTF">2019-06-18T09:04:00Z</dcterms:created>
  <dcterms:modified xsi:type="dcterms:W3CDTF">2019-06-19T02:35:00Z</dcterms:modified>
</cp:coreProperties>
</file>