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仿宋_GB2312" w:hAnsi="仿宋" w:eastAsia="仿宋_GB2312"/>
          <w:b/>
          <w:color w:val="000000"/>
          <w:kern w:val="2"/>
          <w:sz w:val="32"/>
          <w:szCs w:val="32"/>
        </w:rPr>
      </w:pPr>
      <w:r>
        <w:rPr>
          <w:rFonts w:ascii="仿宋_GB2312" w:hAnsi="仿宋" w:eastAsia="仿宋_GB2312"/>
          <w:color w:val="000000"/>
          <w:kern w:val="2"/>
          <w:sz w:val="28"/>
          <w:szCs w:val="28"/>
        </w:rPr>
        <w:t>附件</w:t>
      </w:r>
      <w:r>
        <w:rPr>
          <w:rFonts w:hint="eastAsia" w:ascii="仿宋_GB2312" w:hAnsi="仿宋" w:eastAsia="仿宋_GB2312"/>
          <w:color w:val="000000"/>
          <w:kern w:val="2"/>
          <w:sz w:val="28"/>
          <w:szCs w:val="28"/>
        </w:rPr>
        <w:t>1：</w:t>
      </w:r>
    </w:p>
    <w:p>
      <w:pPr>
        <w:spacing w:after="0" w:line="360" w:lineRule="auto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2"/>
          <w:sz w:val="44"/>
          <w:szCs w:val="44"/>
          <w:lang w:eastAsia="zh-CN"/>
        </w:rPr>
        <w:t>专任教师北外培训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2"/>
          <w:sz w:val="44"/>
          <w:szCs w:val="44"/>
        </w:rPr>
        <w:t>课程设置</w:t>
      </w:r>
    </w:p>
    <w:bookmarkEnd w:id="0"/>
    <w:tbl>
      <w:tblPr>
        <w:tblStyle w:val="4"/>
        <w:tblW w:w="98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60"/>
        <w:gridCol w:w="5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周课时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综合英语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4课时/周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将传统的课堂教学与先进的教学软件相结合，纯外版课件能开拓学员视野，全面调动员工学习英语的积极性，使学员的听说读写能力得到全面提高。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英语写作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4课时/周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侧重培养学员公文、合同、信函等实用写作能力。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高级英语听力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4课时/周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以任务式、体验式的教学使学生提高运用英语进行商务交际的能力。帮助学员了解东西方文化差异，提供与外籍人士进行工作交流的非语言部分解决方案，即与外籍人士进行交流的方式和禁忌。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外教英语口语（外教）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10课时/周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营造全英文环境，使学员掌握正确的口语表达方式，进而使其具备将所学的英语知识说出口的能力。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医学专业英语阅读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8课时/周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注重遵循</w:t>
            </w:r>
            <w:r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  <w:t>“</w:t>
            </w: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边学边用、学用结合</w:t>
            </w:r>
            <w:r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  <w:t>”</w:t>
            </w: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的原则，内容上系统、全面，难点、重点突出；形式上力求创新，但仍注重实用性和通俗易懂，真正反映当代医学领域发展的前沿技术和最新动态、掌握医学词汇。</w:t>
            </w:r>
          </w:p>
        </w:tc>
      </w:tr>
    </w:tbl>
    <w:p>
      <w:pPr>
        <w:adjustRightInd/>
        <w:snapToGrid/>
        <w:spacing w:line="220" w:lineRule="atLeast"/>
        <w:rPr>
          <w:rFonts w:ascii="仿宋_GB2312" w:hAnsi="仿宋" w:eastAsia="仿宋_GB2312"/>
          <w:color w:val="000000"/>
          <w:kern w:val="2"/>
          <w:sz w:val="28"/>
          <w:szCs w:val="28"/>
        </w:rPr>
      </w:pPr>
    </w:p>
    <w:p/>
    <w:sectPr>
      <w:footerReference r:id="rId3" w:type="default"/>
      <w:pgSz w:w="11906" w:h="16838"/>
      <w:pgMar w:top="1134" w:right="170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33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0E5A"/>
    <w:rsid w:val="05FA0E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2018-05-20T10:57:00Z</dcterms:created>
  <dc:creator>暴   风</dc:creator>
  <cp:lastModifiedBy>暴   风</cp:lastModifiedBy>
  <dcterms:modified xsi:type="dcterms:W3CDTF">2018-05-20T10:58:30Z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